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2" w:rsidRPr="008E37A3" w:rsidRDefault="008E37A3" w:rsidP="00B948BE">
      <w:pPr>
        <w:jc w:val="center"/>
        <w:rPr>
          <w:rFonts w:ascii="AlphaRope" w:hAnsi="AlphaRope"/>
          <w:sz w:val="56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971477" wp14:editId="7AF914B6">
            <wp:simplePos x="0" y="0"/>
            <wp:positionH relativeFrom="column">
              <wp:posOffset>5396865</wp:posOffset>
            </wp:positionH>
            <wp:positionV relativeFrom="paragraph">
              <wp:posOffset>559435</wp:posOffset>
            </wp:positionV>
            <wp:extent cx="1247140" cy="518795"/>
            <wp:effectExtent l="154622" t="0" r="107633" b="0"/>
            <wp:wrapTight wrapText="bothSides">
              <wp:wrapPolygon edited="0">
                <wp:start x="1206" y="18456"/>
                <wp:lineTo x="6496" y="29330"/>
                <wp:lineTo x="10292" y="20511"/>
                <wp:lineTo x="12814" y="26785"/>
                <wp:lineTo x="16847" y="17414"/>
                <wp:lineTo x="21094" y="10858"/>
                <wp:lineTo x="21576" y="8634"/>
                <wp:lineTo x="20430" y="5782"/>
                <wp:lineTo x="19259" y="6295"/>
                <wp:lineTo x="11115" y="3156"/>
                <wp:lineTo x="10648" y="3137"/>
                <wp:lineTo x="5026" y="6272"/>
                <wp:lineTo x="4559" y="6253"/>
                <wp:lineTo x="771" y="13950"/>
                <wp:lineTo x="289" y="16174"/>
                <wp:lineTo x="1206" y="18456"/>
              </wp:wrapPolygon>
            </wp:wrapTight>
            <wp:docPr id="2" name="Picture 2" descr="C:\Users\joy.white\AppData\Local\Microsoft\Windows\INetCache\IE\82EGC1MQ\Reef_kn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.white\AppData\Local\Microsoft\Windows\INetCache\IE\82EGC1MQ\Reef_kno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1348">
                      <a:off x="0" y="0"/>
                      <a:ext cx="12471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phaRope" w:hAnsi="AlphaRope"/>
          <w:sz w:val="56"/>
          <w:szCs w:val="40"/>
        </w:rPr>
        <w:t xml:space="preserve">End </w:t>
      </w:r>
      <w:r w:rsidR="000B1E4B" w:rsidRPr="008E37A3">
        <w:rPr>
          <w:rFonts w:ascii="AlphaRope" w:hAnsi="AlphaRope"/>
          <w:sz w:val="56"/>
          <w:szCs w:val="40"/>
        </w:rPr>
        <w:t>of Year Poster</w:t>
      </w:r>
    </w:p>
    <w:p w:rsidR="000B1E4B" w:rsidRPr="008E37A3" w:rsidRDefault="000B1E4B">
      <w:pPr>
        <w:rPr>
          <w:rFonts w:ascii="Berlin Sans FB" w:hAnsi="Berlin Sans FB"/>
        </w:rPr>
      </w:pPr>
      <w:r w:rsidRPr="008E37A3">
        <w:rPr>
          <w:rFonts w:ascii="Berlin Sans FB" w:hAnsi="Berlin Sans FB"/>
        </w:rPr>
        <w:t>CONGRATULATI</w:t>
      </w:r>
      <w:r w:rsidR="005B5194" w:rsidRPr="008E37A3">
        <w:rPr>
          <w:rFonts w:ascii="Berlin Sans FB" w:hAnsi="Berlin Sans FB"/>
        </w:rPr>
        <w:t>ONS!  You have ALMOST survived 9</w:t>
      </w:r>
      <w:r w:rsidRPr="008E37A3">
        <w:rPr>
          <w:rFonts w:ascii="Berlin Sans FB" w:hAnsi="Berlin Sans FB"/>
          <w:vertAlign w:val="superscript"/>
        </w:rPr>
        <w:t>th</w:t>
      </w:r>
      <w:r w:rsidRPr="008E37A3">
        <w:rPr>
          <w:rFonts w:ascii="Berlin Sans FB" w:hAnsi="Berlin Sans FB"/>
        </w:rPr>
        <w:t xml:space="preserve"> grade </w:t>
      </w:r>
      <w:r w:rsidR="005B5194" w:rsidRPr="008E37A3">
        <w:rPr>
          <w:rFonts w:ascii="Berlin Sans FB" w:hAnsi="Berlin Sans FB"/>
        </w:rPr>
        <w:t>Honors biology</w:t>
      </w:r>
      <w:r w:rsidRPr="008E37A3">
        <w:rPr>
          <w:rFonts w:ascii="Berlin Sans FB" w:hAnsi="Berlin Sans FB"/>
        </w:rPr>
        <w:t xml:space="preserve">.  Throughout the year, </w:t>
      </w:r>
      <w:r w:rsidR="00F756CD" w:rsidRPr="008E37A3">
        <w:rPr>
          <w:rFonts w:ascii="Berlin Sans FB" w:hAnsi="Berlin Sans FB"/>
        </w:rPr>
        <w:t>we</w:t>
      </w:r>
      <w:r w:rsidRPr="008E37A3">
        <w:rPr>
          <w:rFonts w:ascii="Berlin Sans FB" w:hAnsi="Berlin Sans FB"/>
        </w:rPr>
        <w:t xml:space="preserve"> have covered many differ</w:t>
      </w:r>
      <w:r w:rsidR="00B948BE" w:rsidRPr="008E37A3">
        <w:rPr>
          <w:rFonts w:ascii="Berlin Sans FB" w:hAnsi="Berlin Sans FB"/>
        </w:rPr>
        <w:t xml:space="preserve">ent topics. These topics included </w:t>
      </w:r>
      <w:r w:rsidR="008E37A3" w:rsidRPr="008E37A3">
        <w:rPr>
          <w:rFonts w:ascii="Berlin Sans FB" w:hAnsi="Berlin Sans FB"/>
        </w:rPr>
        <w:t>E</w:t>
      </w:r>
      <w:r w:rsidR="00B948BE" w:rsidRPr="008E37A3">
        <w:rPr>
          <w:rFonts w:ascii="Berlin Sans FB" w:hAnsi="Berlin Sans FB"/>
        </w:rPr>
        <w:t xml:space="preserve">lements, </w:t>
      </w:r>
      <w:r w:rsidR="008E37A3" w:rsidRPr="008E37A3">
        <w:rPr>
          <w:rFonts w:ascii="Berlin Sans FB" w:hAnsi="Berlin Sans FB"/>
        </w:rPr>
        <w:t>C</w:t>
      </w:r>
      <w:r w:rsidR="00B948BE" w:rsidRPr="008E37A3">
        <w:rPr>
          <w:rFonts w:ascii="Berlin Sans FB" w:hAnsi="Berlin Sans FB"/>
        </w:rPr>
        <w:t xml:space="preserve">ells, DNA, Genetics, Evolution, Ecology and </w:t>
      </w:r>
      <w:r w:rsidR="00164D14" w:rsidRPr="008E37A3">
        <w:rPr>
          <w:rFonts w:ascii="Berlin Sans FB" w:hAnsi="Berlin Sans FB"/>
        </w:rPr>
        <w:t>O</w:t>
      </w:r>
      <w:r w:rsidR="00B948BE" w:rsidRPr="008E37A3">
        <w:rPr>
          <w:rFonts w:ascii="Berlin Sans FB" w:hAnsi="Berlin Sans FB"/>
        </w:rPr>
        <w:t>rganisms. Now i</w:t>
      </w:r>
      <w:r w:rsidRPr="008E37A3">
        <w:rPr>
          <w:rFonts w:ascii="Berlin Sans FB" w:hAnsi="Berlin Sans FB"/>
        </w:rPr>
        <w:t>t is time to TIE it all together!!</w:t>
      </w:r>
    </w:p>
    <w:tbl>
      <w:tblPr>
        <w:tblStyle w:val="TableGrid"/>
        <w:tblpPr w:leftFromText="180" w:rightFromText="180" w:vertAnchor="text" w:horzAnchor="margin" w:tblpXSpec="center" w:tblpY="1437"/>
        <w:tblW w:w="0" w:type="auto"/>
        <w:tblLook w:val="04A0" w:firstRow="1" w:lastRow="0" w:firstColumn="1" w:lastColumn="0" w:noHBand="0" w:noVBand="1"/>
      </w:tblPr>
      <w:tblGrid>
        <w:gridCol w:w="3844"/>
        <w:gridCol w:w="3844"/>
      </w:tblGrid>
      <w:tr w:rsidR="008E37A3" w:rsidTr="008E37A3">
        <w:trPr>
          <w:trHeight w:val="294"/>
        </w:trPr>
        <w:tc>
          <w:tcPr>
            <w:tcW w:w="3844" w:type="dxa"/>
            <w:shd w:val="clear" w:color="auto" w:fill="D9D9D9" w:themeFill="background1" w:themeFillShade="D9"/>
          </w:tcPr>
          <w:p w:rsidR="008E37A3" w:rsidRPr="008E37A3" w:rsidRDefault="008E37A3" w:rsidP="008E37A3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 w:rsidRPr="008E37A3">
              <w:rPr>
                <w:rFonts w:ascii="Snap ITC" w:hAnsi="Snap ITC"/>
                <w:sz w:val="32"/>
                <w:szCs w:val="32"/>
              </w:rPr>
              <w:t>GVC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8E37A3" w:rsidRPr="008E37A3" w:rsidRDefault="008E37A3" w:rsidP="008E37A3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 w:rsidRPr="008E37A3">
              <w:rPr>
                <w:rFonts w:ascii="Snap ITC" w:hAnsi="Snap ITC"/>
                <w:sz w:val="32"/>
                <w:szCs w:val="32"/>
              </w:rPr>
              <w:t>Main Vocabulary</w:t>
            </w:r>
          </w:p>
        </w:tc>
      </w:tr>
      <w:tr w:rsidR="008E37A3" w:rsidTr="008E37A3">
        <w:trPr>
          <w:trHeight w:val="1304"/>
        </w:trPr>
        <w:tc>
          <w:tcPr>
            <w:tcW w:w="3844" w:type="dxa"/>
          </w:tcPr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  <w:r w:rsidRPr="008E37A3">
              <w:rPr>
                <w:rFonts w:ascii="Berlin Sans FB" w:hAnsi="Berlin Sans FB"/>
              </w:rPr>
              <w:t>Students will understand that all organisms are composed of cells.</w:t>
            </w:r>
          </w:p>
        </w:tc>
        <w:tc>
          <w:tcPr>
            <w:tcW w:w="3844" w:type="dxa"/>
          </w:tcPr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>Organelles, Photosynthesis, Cellular Respiration, Osmosis, Diffusion, Active Transport, Cell Theory, Homeostasis, Organic, Carbohydrate, Protein, Fat, Nucleic Acid, Enzyme, Chlorophyll, Cell Membrane, Nucleus, Cell Wall, Solvent, Solute, Adhesion, Cohesion</w:t>
            </w:r>
          </w:p>
        </w:tc>
      </w:tr>
      <w:tr w:rsidR="008E37A3" w:rsidTr="008E37A3">
        <w:trPr>
          <w:trHeight w:val="1250"/>
        </w:trPr>
        <w:tc>
          <w:tcPr>
            <w:tcW w:w="3844" w:type="dxa"/>
          </w:tcPr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  <w:r w:rsidRPr="008E37A3">
              <w:rPr>
                <w:rFonts w:ascii="Berlin Sans FB" w:hAnsi="Berlin Sans FB"/>
              </w:rPr>
              <w:t>Students will understand that genetic information is encoded in DNA and passed from parents to offspring.</w:t>
            </w:r>
          </w:p>
          <w:p w:rsidR="008E37A3" w:rsidRPr="008E37A3" w:rsidRDefault="008E37A3" w:rsidP="008E37A3">
            <w:pPr>
              <w:tabs>
                <w:tab w:val="left" w:pos="1046"/>
              </w:tabs>
              <w:rPr>
                <w:rFonts w:ascii="Berlin Sans FB" w:hAnsi="Berlin Sans FB"/>
              </w:rPr>
            </w:pPr>
          </w:p>
        </w:tc>
        <w:tc>
          <w:tcPr>
            <w:tcW w:w="3844" w:type="dxa"/>
          </w:tcPr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>DNA Replication, Dominant Trait, Recessive Trait, Genetic Engineering, Phenotype, Genotype, Asexual Reproduction, Chromosome, Gene, Mutation, Inheritance, Bioethics, Pedigree</w:t>
            </w:r>
          </w:p>
        </w:tc>
      </w:tr>
      <w:tr w:rsidR="008E37A3" w:rsidTr="008E37A3">
        <w:trPr>
          <w:trHeight w:val="1402"/>
        </w:trPr>
        <w:tc>
          <w:tcPr>
            <w:tcW w:w="3844" w:type="dxa"/>
          </w:tcPr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  <w:r w:rsidRPr="008E37A3">
              <w:rPr>
                <w:rFonts w:ascii="Berlin Sans FB" w:hAnsi="Berlin Sans FB"/>
              </w:rPr>
              <w:t>Students will understand that biological diversity is a result of evolutionary processes.</w:t>
            </w: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</w:tc>
        <w:tc>
          <w:tcPr>
            <w:tcW w:w="3844" w:type="dxa"/>
          </w:tcPr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>Fossil record, Geologic record, Molecular, Homologous, Vestigial structures, Mutation, Classification, Theory, Natural selection, Adaptation, Evidence, Inference, Speciation, Biodiversity, Taxonomy, Kingdom, Virus</w:t>
            </w:r>
          </w:p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>Fungi, Plant, Animal, Dichotomy</w:t>
            </w:r>
          </w:p>
        </w:tc>
      </w:tr>
      <w:tr w:rsidR="008E37A3" w:rsidTr="008E37A3">
        <w:trPr>
          <w:trHeight w:val="1201"/>
        </w:trPr>
        <w:tc>
          <w:tcPr>
            <w:tcW w:w="3844" w:type="dxa"/>
          </w:tcPr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  <w:r w:rsidRPr="008E37A3">
              <w:rPr>
                <w:rFonts w:ascii="Berlin Sans FB" w:hAnsi="Berlin Sans FB"/>
              </w:rPr>
              <w:t>Students will understand that living organisms interact with one another and their environment.</w:t>
            </w: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</w:tc>
        <w:tc>
          <w:tcPr>
            <w:tcW w:w="3844" w:type="dxa"/>
          </w:tcPr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 xml:space="preserve">Predator-Prey, Symbiosis, Competition, Ecosystem, Carbon Cycle, Nitrogen, Cycle, Oxygen Cycle, Population, Diversity, Energy Pyramid, Consumers, Producers, Limiting Factor, Decomposers, Food Chain, Biotic, </w:t>
            </w:r>
          </w:p>
          <w:p w:rsidR="008E37A3" w:rsidRPr="008E37A3" w:rsidRDefault="008E37A3" w:rsidP="008E37A3">
            <w:pPr>
              <w:rPr>
                <w:rFonts w:ascii="Garamond" w:hAnsi="Garamond"/>
              </w:rPr>
            </w:pPr>
          </w:p>
        </w:tc>
      </w:tr>
      <w:tr w:rsidR="008E37A3" w:rsidTr="008E37A3">
        <w:trPr>
          <w:trHeight w:val="1201"/>
        </w:trPr>
        <w:tc>
          <w:tcPr>
            <w:tcW w:w="3844" w:type="dxa"/>
          </w:tcPr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  <w:r w:rsidRPr="008E37A3">
              <w:rPr>
                <w:rFonts w:ascii="Berlin Sans FB" w:hAnsi="Berlin Sans FB"/>
              </w:rPr>
              <w:t>Students will understand the relationship between the structure and function of organs and organ systems.</w:t>
            </w:r>
          </w:p>
          <w:p w:rsidR="008E37A3" w:rsidRPr="008E37A3" w:rsidRDefault="008E37A3" w:rsidP="008E37A3">
            <w:pPr>
              <w:rPr>
                <w:rFonts w:ascii="Berlin Sans FB" w:hAnsi="Berlin Sans FB"/>
              </w:rPr>
            </w:pPr>
          </w:p>
        </w:tc>
        <w:tc>
          <w:tcPr>
            <w:tcW w:w="3844" w:type="dxa"/>
          </w:tcPr>
          <w:p w:rsidR="008E37A3" w:rsidRPr="008E37A3" w:rsidRDefault="008E37A3" w:rsidP="008E37A3">
            <w:pPr>
              <w:rPr>
                <w:rFonts w:ascii="Garamond" w:hAnsi="Garamond"/>
              </w:rPr>
            </w:pPr>
            <w:r w:rsidRPr="008E37A3">
              <w:rPr>
                <w:rFonts w:ascii="Garamond" w:hAnsi="Garamond"/>
              </w:rPr>
              <w:t xml:space="preserve">Organ, Organ system, Organism, Tissue, Homeostasis </w:t>
            </w:r>
          </w:p>
        </w:tc>
      </w:tr>
    </w:tbl>
    <w:p w:rsidR="00C23F71" w:rsidRPr="008E37A3" w:rsidRDefault="00C23F71" w:rsidP="00C23F71">
      <w:pPr>
        <w:rPr>
          <w:rFonts w:ascii="Berlin Sans FB" w:hAnsi="Berlin Sans FB"/>
        </w:rPr>
      </w:pPr>
      <w:r w:rsidRPr="008E37A3">
        <w:rPr>
          <w:rFonts w:ascii="Berlin Sans FB" w:hAnsi="Berlin Sans FB"/>
        </w:rPr>
        <w:t xml:space="preserve">You will take the main vocabulary for each GVC and create a </w:t>
      </w:r>
      <w:r w:rsidRPr="008E37A3">
        <w:rPr>
          <w:rFonts w:ascii="Berlin Sans FB" w:hAnsi="Berlin Sans FB"/>
          <w:b/>
        </w:rPr>
        <w:t>COLORED</w:t>
      </w:r>
      <w:r w:rsidRPr="008E37A3">
        <w:rPr>
          <w:rFonts w:ascii="Berlin Sans FB" w:hAnsi="Berlin Sans FB"/>
        </w:rPr>
        <w:t xml:space="preserve"> poster showing how each is related.  You need to draw a representation for each part and label the vocabulary and </w:t>
      </w:r>
      <w:r w:rsidR="00F756CD" w:rsidRPr="008E37A3">
        <w:rPr>
          <w:rFonts w:ascii="Berlin Sans FB" w:hAnsi="Berlin Sans FB"/>
        </w:rPr>
        <w:t xml:space="preserve">use words to </w:t>
      </w:r>
      <w:r w:rsidRPr="008E37A3">
        <w:rPr>
          <w:rFonts w:ascii="Berlin Sans FB" w:hAnsi="Berlin Sans FB"/>
        </w:rPr>
        <w:t xml:space="preserve">describe the poster. </w:t>
      </w:r>
      <w:r w:rsidR="00F756CD" w:rsidRPr="008E37A3">
        <w:rPr>
          <w:rFonts w:ascii="Berlin Sans FB" w:hAnsi="Berlin Sans FB"/>
        </w:rPr>
        <w:t>The goal is to</w:t>
      </w:r>
      <w:r w:rsidRPr="008E37A3">
        <w:rPr>
          <w:rFonts w:ascii="Berlin Sans FB" w:hAnsi="Berlin Sans FB"/>
        </w:rPr>
        <w:t xml:space="preserve"> </w:t>
      </w:r>
      <w:r w:rsidR="00F756CD" w:rsidRPr="008E37A3">
        <w:rPr>
          <w:rFonts w:ascii="Berlin Sans FB" w:hAnsi="Berlin Sans FB"/>
        </w:rPr>
        <w:t>make</w:t>
      </w:r>
      <w:r w:rsidRPr="008E37A3">
        <w:rPr>
          <w:rFonts w:ascii="Berlin Sans FB" w:hAnsi="Berlin Sans FB"/>
        </w:rPr>
        <w:t xml:space="preserve"> 1 big picture and showing all of the parts.  </w:t>
      </w:r>
    </w:p>
    <w:p w:rsidR="000B1E4B" w:rsidRDefault="000B1E4B"/>
    <w:sectPr w:rsidR="000B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Rope">
    <w:altName w:val="Times New Roman"/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B"/>
    <w:rsid w:val="000B1E4B"/>
    <w:rsid w:val="000F7D59"/>
    <w:rsid w:val="0014355E"/>
    <w:rsid w:val="00164D14"/>
    <w:rsid w:val="001754F6"/>
    <w:rsid w:val="00195233"/>
    <w:rsid w:val="0028215D"/>
    <w:rsid w:val="0035276D"/>
    <w:rsid w:val="0043612A"/>
    <w:rsid w:val="005B5194"/>
    <w:rsid w:val="00713B87"/>
    <w:rsid w:val="008E37A3"/>
    <w:rsid w:val="00A250A5"/>
    <w:rsid w:val="00A2720C"/>
    <w:rsid w:val="00AD6AAB"/>
    <w:rsid w:val="00B948BE"/>
    <w:rsid w:val="00C23F71"/>
    <w:rsid w:val="00E25666"/>
    <w:rsid w:val="00E356B2"/>
    <w:rsid w:val="00EB4F0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joy.white</dc:creator>
  <cp:lastModifiedBy>nicole.heath</cp:lastModifiedBy>
  <cp:revision>3</cp:revision>
  <cp:lastPrinted>2018-05-04T16:01:00Z</cp:lastPrinted>
  <dcterms:created xsi:type="dcterms:W3CDTF">2018-05-02T18:53:00Z</dcterms:created>
  <dcterms:modified xsi:type="dcterms:W3CDTF">2018-05-04T16:19:00Z</dcterms:modified>
</cp:coreProperties>
</file>